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rFonts w:ascii="Calibri" w:hAnsi="Calibri"/>
          <w:b/>
          <w:color w:val="1A2B4A"/>
          <w:sz w:val="72"/>
        </w:rPr>
        <w:t>INFORME DE RIESGOS</w:t>
      </w:r>
    </w:p>
    <w:p>
      <w:pPr>
        <w:jc w:val="center"/>
      </w:pPr>
      <w:r>
        <w:rPr>
          <w:rFonts w:ascii="Calibri" w:hAnsi="Calibri"/>
          <w:b/>
          <w:color w:val="1A2B4A"/>
          <w:sz w:val="56"/>
        </w:rPr>
        <w:t>COMITÉ DE RIESGOS</w:t>
      </w:r>
    </w:p>
    <w:p>
      <w:pPr>
        <w:jc w:val="center"/>
      </w:pPr>
      <w:r>
        <w:rPr>
          <w:b/>
          <w:color w:val="4A86E8"/>
          <w:sz w:val="40"/>
        </w:rPr>
        <w:t>COOPERATIVA MODELO</w:t>
      </w:r>
    </w:p>
    <w:p/>
    <w:p>
      <w:pPr>
        <w:jc w:val="center"/>
      </w:pPr>
      <w:r>
        <w:rPr>
          <w:b/>
          <w:color w:val="27AE60"/>
          <w:sz w:val="28"/>
        </w:rPr>
        <w:t>━━━  Nivel de Riesgo Global: BAJO  ━━━</w:t>
      </w:r>
    </w:p>
    <w:p>
      <w:pPr>
        <w:jc w:val="center"/>
      </w:pPr>
      <w:r>
        <w:rPr>
          <w:color w:val="666666"/>
          <w:sz w:val="22"/>
        </w:rPr>
        <w:t>Corte: Mayo 2026</w:t>
      </w:r>
    </w:p>
    <w:p>
      <w:r>
        <w:br w:type="page"/>
      </w:r>
    </w:p>
    <w:p>
      <w:pPr>
        <w:jc w:val="both"/>
      </w:pPr>
      <w:r>
        <w:t>En el presente informe se plasma el desarrollo de las actividades de seguimiento que se realizan mensualmente en la COOPERATIVA MODELO frente a la gestión de los diferentes riesgos con corte al mes de Mayo de 2026, con el fin de presentar al Comité de Riesgos y a la Junta Directiva los resultados obtenidos en materia de concentración de operaciones (ahorros, cartera y aportes), evolución de los depósitos y comportamiento de la cartera, en el marco del Sistema Integral de Administración de Riesgos (SIAR).</w:t>
      </w:r>
    </w:p>
    <w:p>
      <w:pPr>
        <w:pStyle w:val="Heading1"/>
      </w:pPr>
      <w:r>
        <w:rPr>
          <w:rFonts w:ascii="Calibri" w:hAnsi="Calibri"/>
          <w:color w:val="1A2B4A"/>
        </w:rPr>
        <w:t>Concentración de operaciones</w:t>
      </w:r>
    </w:p>
    <w:p>
      <w:pPr>
        <w:jc w:val="both"/>
      </w:pPr>
      <w:r>
        <w:t>Siendo las concentraciones uno de los factores de riesgo más representativos frente a la liquidez del Fondo, mensualmente se evalúa la concentración de los diferentes tipos de operaciones de colocación, captación y aportes; y que las mismas cumplan con limites internos y externos establecidos:</w:t>
      </w:r>
    </w:p>
    <w:p>
      <w:pPr>
        <w:pStyle w:val="Heading2"/>
      </w:pPr>
      <w:r>
        <w:rPr>
          <w:rFonts w:ascii="Calibri" w:hAnsi="Calibri"/>
          <w:color w:val="1A2B4A"/>
        </w:rPr>
        <w:t>Ahorros</w:t>
      </w:r>
    </w:p>
    <w:p>
      <w:pPr>
        <w:jc w:val="both"/>
      </w:pPr>
      <w:r>
        <w:t>Se evidencia que en los 20 mayores ahorradores se encuentra concentrado el 88.83% del saldo analizado, teniendo entre ellos ahorrado $1.728.999.998. El mayor ahorrador individual corresponde al ASOCIADO 002 con $107.391.506, equivalente al 6.21% del total. Al comparar los montos individuales contra el límite estatutario de captación de $280.000.000, ningún asociado lo supera, por lo que la concentración individual se mantiene dentro de niveles controlados. No obstante, se recomienda fidelizar a estos ahorradores dado su peso representativo dentro de las captaciones.</w:t>
      </w:r>
    </w:p>
    <w:p>
      <w:pPr>
        <w:jc w:val="both"/>
      </w:pPr>
      <w:r>
        <w:t>Los montos individuales de los mayores ahorradores muestran un comportamiento estable y homogéneo, sin registrarse concentraciones individuales que sobrepasen el límite de captación. No se identifican operaciones inusuales que ameriten reporte en el marco del SARLAFT.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82385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23855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pStyle w:val="Heading2"/>
      </w:pPr>
      <w:r>
        <w:rPr>
          <w:rFonts w:ascii="Calibri" w:hAnsi="Calibri"/>
          <w:color w:val="1A2B4A"/>
        </w:rPr>
        <w:t>Cartera</w:t>
      </w:r>
    </w:p>
    <w:p>
      <w:pPr>
        <w:jc w:val="both"/>
      </w:pPr>
      <w:r>
        <w:t>Al analizar la composición de los mayores deudores se evidencia que no se presenta un riesgo inminente por concentración. Los 20 mayores deudores concentran el 87.9% del saldo analizado, con un valor de $700.000.000 entre los 25 registros disponibles. El mayor deudor individual corresponde al ASOCIADO 001 con $42.623.019, equivalente al 6.09%, monto que se encuentra muy por debajo del límite individual de colocación con garantía real de $350.000.000, por lo que ningún deudor supera los límites de colocación establecidos.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82385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23855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pStyle w:val="Heading2"/>
      </w:pPr>
      <w:r>
        <w:rPr>
          <w:rFonts w:ascii="Calibri" w:hAnsi="Calibri"/>
          <w:color w:val="1A2B4A"/>
        </w:rPr>
        <w:t>Aportes</w:t>
      </w:r>
    </w:p>
    <w:p>
      <w:pPr>
        <w:jc w:val="both"/>
      </w:pPr>
      <w:r>
        <w:t>Evaluando el nivel individual de concentración en cuanto a los aportes, se evidencia que se cumple con el límite establecido debido a que ningún asociado tiene más del 10% del total de aportes del Fondo, lo cual correspondería a $306.800.000. El mayor aportante individual es el ASOCIADO 001 con $41.153.693, equivalente al 5.96% del saldo analizado, cifra ampliamente inferior al límite. Los 20 mayores aportantes concentran el 87.2% del saldo analizado, sin representar un riesgo relevante de concentración.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82385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23855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pStyle w:val="Heading1"/>
      </w:pPr>
      <w:r>
        <w:rPr>
          <w:rFonts w:ascii="Calibri" w:hAnsi="Calibri"/>
          <w:color w:val="1A2B4A"/>
        </w:rPr>
        <w:t>Seguimiento ahorros</w:t>
      </w:r>
    </w:p>
    <w:p>
      <w:pPr>
        <w:jc w:val="both"/>
      </w:pPr>
      <w:r>
        <w:t>Con corte al período 2025, los depósitos totales alcanzan un saldo de $5.600.000.000, presentando un crecimiento del 5.26% respecto al período anterior (2024) que cerró en $5.320.000.000, lo que confirma una tendencia sostenida de crecimiento en las captaciones. El ahorro permanente continúa siendo la línea de mayor peso con $2.464.000.000 (44%), seguido por los CDAT con $2.184.000.000 (39%), el ahorro a la vista con $616.000.000 (11%) y el ahorro contractual con $336.000.000 (6%).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fill="1A3A6B" w:val="clear"/>
          </w:tcPr>
          <w:p>
            <w:r>
              <w:rPr>
                <w:b/>
                <w:color w:val="FFFFFF"/>
                <w:sz w:val="20"/>
              </w:rPr>
              <w:t>Línea de Ahorro</w:t>
            </w:r>
          </w:p>
        </w:tc>
        <w:tc>
          <w:tcPr>
            <w:tcW w:type="dxa" w:w="3135"/>
            <w:shd w:fill="1A3A6B" w:val="clear"/>
          </w:tcPr>
          <w:p>
            <w:r>
              <w:rPr>
                <w:b/>
                <w:color w:val="FFFFFF"/>
                <w:sz w:val="20"/>
              </w:rPr>
              <w:t>Saldo (Mayo 2026)</w:t>
            </w:r>
          </w:p>
        </w:tc>
        <w:tc>
          <w:tcPr>
            <w:tcW w:type="dxa" w:w="3135"/>
            <w:shd w:fill="1A3A6B" w:val="clear"/>
          </w:tcPr>
          <w:p>
            <w:r>
              <w:rPr>
                <w:b/>
                <w:color w:val="FFFFFF"/>
                <w:sz w:val="20"/>
              </w:rPr>
              <w:t>Participación</w:t>
            </w:r>
          </w:p>
        </w:tc>
      </w:tr>
      <w:tr>
        <w:tc>
          <w:tcPr>
            <w:tcW w:type="dxa" w:w="3135"/>
          </w:tcPr>
          <w:p>
            <w:r>
              <w:t>Ahorro a la Vista</w:t>
            </w:r>
          </w:p>
        </w:tc>
        <w:tc>
          <w:tcPr>
            <w:tcW w:type="dxa" w:w="3135"/>
          </w:tcPr>
          <w:p>
            <w:r>
              <w:t>$616,000,000.00</w:t>
            </w:r>
          </w:p>
        </w:tc>
        <w:tc>
          <w:tcPr>
            <w:tcW w:type="dxa" w:w="3135"/>
          </w:tcPr>
          <w:p>
            <w:r>
              <w:t>11.0%</w:t>
            </w:r>
          </w:p>
        </w:tc>
      </w:tr>
      <w:tr>
        <w:tc>
          <w:tcPr>
            <w:tcW w:type="dxa" w:w="3135"/>
            <w:shd w:fill="EDF2FA" w:val="clear"/>
          </w:tcPr>
          <w:p>
            <w:r>
              <w:t>CDAT</w:t>
            </w:r>
          </w:p>
        </w:tc>
        <w:tc>
          <w:tcPr>
            <w:tcW w:type="dxa" w:w="3135"/>
            <w:shd w:fill="EDF2FA" w:val="clear"/>
          </w:tcPr>
          <w:p>
            <w:r>
              <w:t>$2,184,000,000.00</w:t>
            </w:r>
          </w:p>
        </w:tc>
        <w:tc>
          <w:tcPr>
            <w:tcW w:type="dxa" w:w="3135"/>
            <w:shd w:fill="EDF2FA" w:val="clear"/>
          </w:tcPr>
          <w:p>
            <w:r>
              <w:t>39.0%</w:t>
            </w:r>
          </w:p>
        </w:tc>
      </w:tr>
      <w:tr>
        <w:tc>
          <w:tcPr>
            <w:tcW w:type="dxa" w:w="3135"/>
          </w:tcPr>
          <w:p>
            <w:r>
              <w:t>Ahorro Contractual</w:t>
            </w:r>
          </w:p>
        </w:tc>
        <w:tc>
          <w:tcPr>
            <w:tcW w:type="dxa" w:w="3135"/>
          </w:tcPr>
          <w:p>
            <w:r>
              <w:t>$336,000,000.00</w:t>
            </w:r>
          </w:p>
        </w:tc>
        <w:tc>
          <w:tcPr>
            <w:tcW w:type="dxa" w:w="3135"/>
          </w:tcPr>
          <w:p>
            <w:r>
              <w:t>6.0%</w:t>
            </w:r>
          </w:p>
        </w:tc>
      </w:tr>
      <w:tr>
        <w:tc>
          <w:tcPr>
            <w:tcW w:type="dxa" w:w="3135"/>
            <w:shd w:fill="EDF2FA" w:val="clear"/>
          </w:tcPr>
          <w:p>
            <w:r>
              <w:t>Ahorro Permanente</w:t>
            </w:r>
          </w:p>
        </w:tc>
        <w:tc>
          <w:tcPr>
            <w:tcW w:type="dxa" w:w="3135"/>
            <w:shd w:fill="EDF2FA" w:val="clear"/>
          </w:tcPr>
          <w:p>
            <w:r>
              <w:t>$2,464,000,000.00</w:t>
            </w:r>
          </w:p>
        </w:tc>
        <w:tc>
          <w:tcPr>
            <w:tcW w:type="dxa" w:w="3135"/>
            <w:shd w:fill="EDF2FA" w:val="clear"/>
          </w:tcPr>
          <w:p>
            <w:r>
              <w:t>44.0%</w:t>
            </w:r>
          </w:p>
        </w:tc>
      </w:tr>
      <w:tr>
        <w:tc>
          <w:tcPr>
            <w:tcW w:type="dxa" w:w="3135"/>
          </w:tcPr>
          <w:p>
            <w:r>
              <w:t>TOTAL DEPÓSITOS</w:t>
            </w:r>
          </w:p>
        </w:tc>
        <w:tc>
          <w:tcPr>
            <w:tcW w:type="dxa" w:w="3135"/>
          </w:tcPr>
          <w:p>
            <w:r>
              <w:t>$5,600,000,000.00</w:t>
            </w:r>
          </w:p>
        </w:tc>
        <w:tc>
          <w:tcPr>
            <w:tcW w:type="dxa" w:w="3135"/>
          </w:tcPr>
          <w:p>
            <w:r>
              <w:t>Var: +5.26%</w:t>
            </w:r>
          </w:p>
        </w:tc>
      </w:tr>
    </w:tbl>
    <w:p/>
    <w:p>
      <w:pPr>
        <w:jc w:val="both"/>
      </w:pPr>
      <w:r>
        <w:t>El gráfico de evolución muestra una tendencia creciente y consistente de los depósitos totales entre 2021 y 2025, pasando de $4.144.000.000 a $5.600.000.000, un incremento acumulado del 35.1%. Todas las líneas de ahorro reflejan un crecimiento sostenido, con el ahorro permanente y los CDAT liderando la dinámica de captación, lo cual favorece la estabilidad de la base de fondeo de la Cooperativa.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029200" cy="248696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48696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029200" cy="2486967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486967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pStyle w:val="Heading1"/>
      </w:pPr>
      <w:r>
        <w:rPr>
          <w:rFonts w:ascii="Calibri" w:hAnsi="Calibri"/>
          <w:color w:val="1A2B4A"/>
        </w:rPr>
        <w:t>Seguimiento de la cartera</w:t>
      </w:r>
    </w:p>
    <w:p>
      <w:pPr>
        <w:jc w:val="both"/>
      </w:pPr>
      <w:r>
        <w:t>El seguimiento de la cartera no pudo ser calculado para el presente período debido a que no se cargó el archivo de cartera por edades (con columnas de saldo capital y categoría), insumo necesario para determinar la cartera total, la cartera productiva, la cantidad de créditos vigentes y la cantidad de asociados con crédito conforme a la metodología oficial. Se recomienda suministrar dicho archivo para completar este apartado en el próximo informe.</w:t>
      </w:r>
    </w:p>
    <w:p>
      <w:pPr>
        <w:pStyle w:val="Heading1"/>
      </w:pPr>
      <w:r>
        <w:rPr>
          <w:rFonts w:ascii="Calibri" w:hAnsi="Calibri"/>
          <w:color w:val="1A2B4A"/>
        </w:rPr>
        <w:t>Conclusiones</w:t>
      </w:r>
    </w:p>
    <w:p>
      <w:pPr>
        <w:jc w:val="both"/>
      </w:pPr>
      <w:r>
        <w:rPr>
          <w:b/>
          <w:color w:val="1A2B4A"/>
        </w:rPr>
        <w:t xml:space="preserve">1. </w:t>
      </w:r>
      <w:r>
        <w:t>La concentración de captaciones se mantiene controlada: ningún ahorrador supera el límite individual de captación de $280.000.000, siendo el mayor saldo individual de $107.391.506 (ASOCIADO 002).</w:t>
      </w:r>
    </w:p>
    <w:p>
      <w:pPr>
        <w:jc w:val="both"/>
      </w:pPr>
      <w:r>
        <w:rPr>
          <w:b/>
          <w:color w:val="1A2B4A"/>
        </w:rPr>
        <w:t xml:space="preserve">2. </w:t>
      </w:r>
      <w:r>
        <w:t>La cartera analizada no presenta riesgo de concentración por deudor: el mayor deudor registra $42.623.019, muy inferior al límite de colocación con garantía real de $350.000.000.</w:t>
      </w:r>
    </w:p>
    <w:p>
      <w:pPr>
        <w:jc w:val="both"/>
      </w:pPr>
      <w:r>
        <w:rPr>
          <w:b/>
          <w:color w:val="1A2B4A"/>
        </w:rPr>
        <w:t xml:space="preserve">3. </w:t>
      </w:r>
      <w:r>
        <w:t>En materia de aportes se cumple el límite del 10% ($306.800.000), pues el mayor aportante individual solo representa $41.153.693 (5.96%).</w:t>
      </w:r>
    </w:p>
    <w:p>
      <w:pPr>
        <w:jc w:val="both"/>
      </w:pPr>
      <w:r>
        <w:rPr>
          <w:b/>
          <w:color w:val="1A2B4A"/>
        </w:rPr>
        <w:t xml:space="preserve">4. </w:t>
      </w:r>
      <w:r>
        <w:t>Los depósitos totales muestran una tendencia de crecimiento sostenido, cerrando en $5.600.000.000 con un incremento del 5.26% frente al período anterior, liderados por el ahorro permanente (44%) y los CDAT (39%).</w:t>
      </w:r>
    </w:p>
    <w:p>
      <w:pPr>
        <w:jc w:val="both"/>
      </w:pPr>
      <w:r>
        <w:rPr>
          <w:b/>
          <w:color w:val="1A2B4A"/>
        </w:rPr>
        <w:t xml:space="preserve">5. </w:t>
      </w:r>
      <w:r>
        <w:t>El seguimiento de la cartera queda pendiente por ausencia del archivo de cartera por edades, lo que constituye una salvedad para el presente informe.</w:t>
      </w:r>
    </w:p>
    <w:p>
      <w:pPr>
        <w:pStyle w:val="Heading1"/>
      </w:pPr>
      <w:r>
        <w:rPr>
          <w:rFonts w:ascii="Calibri" w:hAnsi="Calibri"/>
          <w:color w:val="1A2B4A"/>
        </w:rPr>
        <w:t>Recomendaciones Estratégicas</w:t>
      </w:r>
    </w:p>
    <w:p>
      <w:pPr>
        <w:jc w:val="both"/>
      </w:pPr>
      <w:r>
        <w:rPr>
          <w:b/>
          <w:color w:val="4A86E8"/>
        </w:rPr>
        <w:t xml:space="preserve">R1: </w:t>
      </w:r>
      <w:r>
        <w:t>Suministrar el archivo de cartera por edades en los próximos cortes para completar el seguimiento de la cartera y el análisis del riesgo de crédito (SARC).</w:t>
      </w:r>
    </w:p>
    <w:p>
      <w:pPr>
        <w:jc w:val="both"/>
      </w:pPr>
      <w:r>
        <w:rPr>
          <w:b/>
          <w:color w:val="4A86E8"/>
        </w:rPr>
        <w:t xml:space="preserve">R2: </w:t>
      </w:r>
      <w:r>
        <w:t>Implementar estrategias de fidelización sobre los 20 mayores ahorradores, quienes concentran una porción representativa de las captaciones, en el marco del SARL.</w:t>
      </w:r>
    </w:p>
    <w:p>
      <w:pPr>
        <w:jc w:val="both"/>
      </w:pPr>
      <w:r>
        <w:rPr>
          <w:b/>
          <w:color w:val="4A86E8"/>
        </w:rPr>
        <w:t xml:space="preserve">R3: </w:t>
      </w:r>
      <w:r>
        <w:t>Mantener el monitoreo periódico de los límites individuales de captación, colocación y aportes para garantizar el cumplimiento estatutario continuo.</w:t>
      </w:r>
    </w:p>
    <w:p>
      <w:pPr>
        <w:jc w:val="both"/>
      </w:pPr>
      <w:r>
        <w:rPr>
          <w:b/>
          <w:color w:val="4A86E8"/>
        </w:rPr>
        <w:t xml:space="preserve">R4: </w:t>
      </w:r>
      <w:r>
        <w:t>Continuar diversificando la base de fondeo aprovechando el crecimiento del ahorro permanente y los CDAT, gestionando el riesgo de liquidez asociado a vencimientos de CDAT.</w:t>
      </w:r>
    </w:p>
    <w:p>
      <w:pPr>
        <w:pStyle w:val="Heading1"/>
      </w:pPr>
      <w:r>
        <w:rPr>
          <w:rFonts w:ascii="Calibri" w:hAnsi="Calibri"/>
          <w:color w:val="1A2B4A"/>
        </w:rPr>
        <w:t>Salvedades y limitaciones del análisis</w:t>
      </w:r>
    </w:p>
    <w:p>
      <w:pPr>
        <w:jc w:val="both"/>
      </w:pPr>
      <w:r>
        <w:t>El presente análisis se elaboró con los insumos disponibles al corte. Se dejan las siguientes salvedades sobre cálculos que no pudieron realizarse por falta de información:</w:t>
      </w:r>
    </w:p>
    <w:p>
      <w:pPr>
        <w:jc w:val="both"/>
      </w:pPr>
      <w:r>
        <w:rPr>
          <w:b/>
          <w:color w:val="1A2B4A"/>
        </w:rPr>
        <w:t xml:space="preserve">• Seguimiento de la cartera [N/D]: </w:t>
      </w:r>
      <w:r>
        <w:t>No se cargó el archivo de cartera por edades (con columnas de saldo capital y categoría), necesario para el seguimiento.</w:t>
      </w:r>
    </w:p>
    <w:p/>
    <w:p>
      <w:pPr>
        <w:jc w:val="center"/>
      </w:pPr>
      <w:r>
        <w:rPr>
          <w:color w:val="666666"/>
          <w:sz w:val="16"/>
        </w:rPr>
        <w:t>━━━━━━━━━━━━━━━━━━━━━━━━━━━━━━━━━━━━━━━━━━━━━━━━━━━━━━━━━━━━</w:t>
      </w:r>
    </w:p>
    <w:p>
      <w:pPr>
        <w:jc w:val="center"/>
      </w:pPr>
      <w:r>
        <w:rPr>
          <w:color w:val="666666"/>
          <w:sz w:val="16"/>
        </w:rPr>
        <w:t>Informe generado por IA — COOPERATIVA MODELO — Plataforma Compliance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color w:val="3333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